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01F2" w14:textId="77777777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b/>
          <w:bCs/>
          <w:sz w:val="30"/>
          <w:szCs w:val="30"/>
        </w:rPr>
      </w:pPr>
      <w:r w:rsidRPr="00087456">
        <w:rPr>
          <w:rFonts w:ascii="Phetsarath OT" w:eastAsia="Phetsarath OT" w:hAnsi="Phetsarath OT" w:cs="Phetsarath OT"/>
          <w:b/>
          <w:bCs/>
          <w:sz w:val="30"/>
          <w:szCs w:val="30"/>
          <w:lang w:val="lo-LA"/>
        </w:rPr>
        <w:t>ສິດ ແລະ ການບໍລິການສໍາລັບເຍື່ອອາຊະຍາກໍາທັງໝົດ</w:t>
      </w:r>
    </w:p>
    <w:p w14:paraId="6DC91483" w14:textId="77777777" w:rsidR="00087456" w:rsidRPr="00087456" w:rsidRDefault="00087456" w:rsidP="00087456">
      <w:pPr>
        <w:pStyle w:val="ListParagraph"/>
        <w:spacing w:after="0" w:line="400" w:lineRule="exact"/>
        <w:ind w:left="360"/>
        <w:jc w:val="both"/>
        <w:rPr>
          <w:rFonts w:ascii="Phetsarath OT" w:eastAsia="Phetsarath OT" w:hAnsi="Phetsarath OT" w:cs="Phetsarath OT"/>
          <w:sz w:val="22"/>
          <w:szCs w:val="22"/>
        </w:rPr>
      </w:pPr>
    </w:p>
    <w:p w14:paraId="140F01F3" w14:textId="1A4A0B68" w:rsidR="009D0621" w:rsidRPr="00087456" w:rsidRDefault="00F12C0A" w:rsidP="00087456">
      <w:pPr>
        <w:pStyle w:val="ListParagraph"/>
        <w:numPr>
          <w:ilvl w:val="0"/>
          <w:numId w:val="1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ທ່ານມີສິດ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>ໃນການ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ສະໝັກຂໍຄວາມຊ່ວຍເຫຼືອທາງການເງິນກັບໂຄງການເບີກເງິນຄືນໃຫ້ເຍື່ອອາຊະຍາກໍາ (Crime Victims Reimbursement Program) ສໍາລັບການສູນເສຍ ເຊິ່ງເປັນຜົນມາຈາກອາຊະຍາກໍາຄວາມຮຸນແຮງ. ການຊ່ວຍເຫຼືອນີ້ບໍ່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ໄດ້ຄຸ້ມຄອງການສູນເສຍຕໍ່ຊັບສິນ. ສໍາລັບຄໍາຮ້ອງ ແລະ ຂໍ້ມູນ, ກະລຸນາໂທຫາ 651-201-7300 ຫຼື 888-622-8799 ຫຼື ໄປທີ່ເວັບໄຊຂອງຫ້ອງການໂຄງການຍຸຕິທໍາ (Office of Justice Programs): dps.mn.gov/divisions/ojp</w:t>
      </w:r>
    </w:p>
    <w:p w14:paraId="140F01F4" w14:textId="3C1BE79B" w:rsidR="009D0621" w:rsidRPr="00087456" w:rsidRDefault="00F12C0A" w:rsidP="00087456">
      <w:pPr>
        <w:pStyle w:val="ListParagraph"/>
        <w:numPr>
          <w:ilvl w:val="0"/>
          <w:numId w:val="1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ທ່ານມີສິດ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ໃນການຮ້ອງຂໍ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ໃຫ້ໜ່ວຍງານບັງຄັບໃຊ້ກົດໝາຍ</w:t>
      </w:r>
      <w:r w:rsidR="008E75BB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ລະງັບການເຂົ້າເຖິງແບບສາທາລະນະ</w:t>
      </w:r>
      <w:r w:rsidR="008E75BB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ຕໍ່ຂໍ້ມູນທີ່ເປີດເຜີຍຕົວຕົນ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ຂອງທ່ານ. ໜ່ວຍງານບັງຄັບໃຊ້ກົດໝາຍຈະຕັດສິນວ່າ ການດໍາເນີນການດັ່ງກ່າວເປັນໄປໄດ້ບໍ່.</w:t>
      </w:r>
    </w:p>
    <w:p w14:paraId="140F01F5" w14:textId="0CD5B211" w:rsidR="009D0621" w:rsidRPr="00087456" w:rsidRDefault="00F12C0A" w:rsidP="00087456">
      <w:pPr>
        <w:pStyle w:val="ListParagraph"/>
        <w:numPr>
          <w:ilvl w:val="0"/>
          <w:numId w:val="1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ທ່ານມີສິດໃນການໄດ້ຮັບແຈ້ງ ຖ້າມີການຕັດສິນໂທດຜູ້ເຮັດຜິດ, ເຂົ້າຮ່ວມໃນຂະບວນການດໍາເນີນຄະດີ ແລະ ຂໍໃຫ້ມີການ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 xml:space="preserve">ຊົດໃຊ້ເມື່ອມີການຕັດສິນໂທດ. </w:t>
      </w:r>
    </w:p>
    <w:p w14:paraId="1B136613" w14:textId="77777777" w:rsidR="00087456" w:rsidRPr="00087456" w:rsidRDefault="00087456" w:rsidP="00087456">
      <w:pPr>
        <w:spacing w:after="0" w:line="400" w:lineRule="exact"/>
        <w:jc w:val="both"/>
        <w:rPr>
          <w:rFonts w:ascii="Phetsarath OT" w:eastAsia="Phetsarath OT" w:hAnsi="Phetsarath OT" w:cs="Phetsarath OT"/>
          <w:i/>
          <w:iCs/>
          <w:sz w:val="22"/>
          <w:szCs w:val="22"/>
          <w:lang w:val="lo-LA"/>
        </w:rPr>
      </w:pPr>
    </w:p>
    <w:p w14:paraId="140F01F6" w14:textId="655222F1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i/>
          <w:iCs/>
          <w:sz w:val="22"/>
          <w:szCs w:val="22"/>
          <w:lang w:val="lo-LA"/>
        </w:rPr>
        <w:t>ຖ້າທ່ານຮູ້ສຶກວ່າສິດຂອງທ່ານ ໃນຖານະເປັນເຍື່ອ ໄດ້ຖືກລະເມີດ, ກະລຸນາໂທຫາໜ່ວຍງານຍຸຕິທໍາເພື່ອເຍື່ອອາຊະຍາກໍາ (Crime Victim Justice Unit) ທີ່ໝາຍເລກ 651-201-7310 ຫຼື 800-247-0390.</w:t>
      </w:r>
    </w:p>
    <w:p w14:paraId="140F01F7" w14:textId="77777777" w:rsidR="009D0621" w:rsidRPr="00087456" w:rsidRDefault="009D0621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</w:p>
    <w:p w14:paraId="140F01F8" w14:textId="77777777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b/>
          <w:bCs/>
          <w:sz w:val="30"/>
          <w:szCs w:val="30"/>
        </w:rPr>
      </w:pPr>
      <w:r w:rsidRPr="00087456">
        <w:rPr>
          <w:rFonts w:ascii="Phetsarath OT" w:eastAsia="Phetsarath OT" w:hAnsi="Phetsarath OT" w:cs="Phetsarath OT"/>
          <w:b/>
          <w:bCs/>
          <w:sz w:val="30"/>
          <w:szCs w:val="30"/>
          <w:lang w:val="lo-LA"/>
        </w:rPr>
        <w:t>ສິດຂອງເຍື່ອຈາກຄວາມຮຸນແຮງພາຍໃນຄອບຄົວ</w:t>
      </w:r>
    </w:p>
    <w:p w14:paraId="2ECE73C2" w14:textId="77777777" w:rsidR="004E724E" w:rsidRDefault="004E724E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  <w:lang w:val="lo-LA" w:bidi="lo-LA"/>
        </w:rPr>
      </w:pPr>
    </w:p>
    <w:p w14:paraId="140F01F9" w14:textId="5A05E27B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  <w:lang w:val="lo-LA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ຖ້າທ່ານເປັນເຍື່ອຈາກຄວາມຮຸນແຮງພາຍໃນຄອບຄົວ, ທ່ານສາມາດຍື່ນຄໍາຮ້ອງຮຽນກັບສານ ເພື່ອໃຫ້ມີຄໍາສັ່ງຄຸ້ມຄອງ ແລະ ຂໍໃຫ້</w:t>
      </w:r>
      <w:r w:rsidR="00087456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ບຸກຄົນທີ່ຮັບຜິດຊອບຕໍ່ຄວາມຮຸນແຮງພາຍໃນຄອບຄົວໃຫ້:</w:t>
      </w:r>
    </w:p>
    <w:p w14:paraId="608D8EB2" w14:textId="77777777" w:rsidR="00087456" w:rsidRPr="00087456" w:rsidRDefault="00087456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</w:p>
    <w:p w14:paraId="140F01FA" w14:textId="77777777" w:rsidR="009D0621" w:rsidRPr="00087456" w:rsidRDefault="00F12C0A" w:rsidP="00087456">
      <w:pPr>
        <w:pStyle w:val="ListParagraph"/>
        <w:numPr>
          <w:ilvl w:val="0"/>
          <w:numId w:val="3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ຖືກຈໍາກັດຈາກການລ່ວງລະເມີດເພີ່ມເຕີມ;</w:t>
      </w:r>
    </w:p>
    <w:p w14:paraId="140F01FB" w14:textId="77777777" w:rsidR="009D0621" w:rsidRPr="00087456" w:rsidRDefault="00F12C0A" w:rsidP="00087456">
      <w:pPr>
        <w:pStyle w:val="ListParagraph"/>
        <w:numPr>
          <w:ilvl w:val="0"/>
          <w:numId w:val="3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ອອກຈາກເຮືອນຂອງທ່ານ;</w:t>
      </w:r>
    </w:p>
    <w:p w14:paraId="140F01FC" w14:textId="77777777" w:rsidR="009D0621" w:rsidRPr="00087456" w:rsidRDefault="00F12C0A" w:rsidP="00087456">
      <w:pPr>
        <w:pStyle w:val="ListParagraph"/>
        <w:numPr>
          <w:ilvl w:val="0"/>
          <w:numId w:val="3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ຢູ່ຫ່າງຈາກທີ່ພັກ, ໂຮງຮຽນ, ທຸລະກິດ ຫຼື ບ່ອນເຮັດວຽກຂອງທ່ານ; ແລະ</w:t>
      </w:r>
    </w:p>
    <w:p w14:paraId="140F01FD" w14:textId="0A87F68A" w:rsidR="009D0621" w:rsidRPr="00087456" w:rsidRDefault="00F12C0A" w:rsidP="00087456">
      <w:pPr>
        <w:pStyle w:val="ListParagraph"/>
        <w:numPr>
          <w:ilvl w:val="0"/>
          <w:numId w:val="3"/>
        </w:num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ຈ່າຍຄ່າຊ່ວຍເຫຼືອແກ່ທ່ານ ແລະ ເດັກນ້ອຍ ຖ້າບຸກຄົນດັ່ງກ່າວມີພັນທະຕາມກົດໝາຍ</w:t>
      </w:r>
      <w:r w:rsidR="004E724E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>ໃນການ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 xml:space="preserve">ເຮັດເຊັ່ນນັ້ນ. </w:t>
      </w:r>
    </w:p>
    <w:p w14:paraId="6C9C7236" w14:textId="77777777" w:rsidR="00087456" w:rsidRPr="00087456" w:rsidRDefault="00087456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  <w:lang w:val="lo-LA"/>
        </w:rPr>
      </w:pPr>
    </w:p>
    <w:p w14:paraId="140F01FE" w14:textId="1CC8D5A9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ໃນຄໍາຮ້ອງຮຽນຂອງທ່ານ, ທ່ານສາມາດສະເໜີ</w:t>
      </w:r>
      <w:r w:rsidR="004E724E"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>ຂໍ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ຄໍາສັ່ງຄຸ້ມຄອງ ແລະ ລ້ຽງດູລູກຂອງທ່ານ ທີ່ທ່ານມີກັບບຸກຄົນດັ່ງກ່າວ.</w:t>
      </w:r>
    </w:p>
    <w:p w14:paraId="64C12F2E" w14:textId="77777777" w:rsidR="00087456" w:rsidRPr="00087456" w:rsidRDefault="00087456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  <w:lang w:val="lo-LA"/>
        </w:rPr>
      </w:pPr>
    </w:p>
    <w:p w14:paraId="140F01FF" w14:textId="46FA4119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ທ່ານມີສິດໄດ້ຮັບແຈ້ງ ຖ້າການດໍາເນີນຄະດີຖືກປະຕິເສດ ຫຼື ມີການຊັດມ້ຽນການ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>ຕັດສິນໂທດທາງ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ອາຊະຍາກໍາ.</w:t>
      </w:r>
    </w:p>
    <w:p w14:paraId="2E2A65A5" w14:textId="77777777" w:rsidR="00087456" w:rsidRPr="00087456" w:rsidRDefault="00087456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  <w:lang w:val="lo-LA"/>
        </w:rPr>
      </w:pPr>
    </w:p>
    <w:p w14:paraId="140F0200" w14:textId="7F54FF5B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ສໍາລັບການຊ່ວຍເຫຼືອ</w:t>
      </w:r>
      <w:r>
        <w:rPr>
          <w:rFonts w:ascii="Phetsarath OT" w:eastAsia="Phetsarath OT" w:hAnsi="Phetsarath OT" w:cs="Phetsarath OT" w:hint="cs"/>
          <w:sz w:val="22"/>
          <w:szCs w:val="22"/>
          <w:cs/>
          <w:lang w:val="lo-LA"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ໃນການຊອກຫາການຊ່ວຍເຫຼືອກັບຄໍາສັ່ງຄຸ້ມຄອງ ຫຼື ຄໍາສັ່ງຈໍາກັດການຄຸກຄາມ, ກະລຸນາຕິດຕໍ່</w:t>
      </w:r>
      <w:r w:rsidRPr="00087456">
        <w:rPr>
          <w:rFonts w:ascii="Phetsarath OT" w:eastAsia="Phetsarath OT" w:hAnsi="Phetsarath OT" w:cs="Phetsarath OT"/>
          <w:b/>
          <w:bCs/>
          <w:sz w:val="22"/>
          <w:szCs w:val="22"/>
          <w:lang w:val="lo-LA"/>
        </w:rPr>
        <w:t>ສາຍດ່ວນ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 xml:space="preserve"> </w:t>
      </w:r>
      <w:hyperlink r:id="rId5" w:history="1">
        <w:r w:rsidRPr="003279EF">
          <w:rPr>
            <w:rStyle w:val="Hyperlink"/>
            <w:rFonts w:ascii="Phetsarath OT" w:eastAsia="Phetsarath OT" w:hAnsi="Phetsarath OT" w:cs="Phetsarath OT"/>
            <w:b/>
            <w:bCs/>
            <w:sz w:val="22"/>
            <w:szCs w:val="22"/>
            <w:lang w:val="lo-LA"/>
          </w:rPr>
          <w:t>Minnesota Day One Crisis</w:t>
        </w:r>
      </w:hyperlink>
      <w:r w:rsidRPr="00087456">
        <w:rPr>
          <w:rFonts w:ascii="Phetsarath OT" w:eastAsia="Phetsarath OT" w:hAnsi="Phetsarath OT" w:cs="Phetsarath OT"/>
          <w:b/>
          <w:bCs/>
          <w:sz w:val="22"/>
          <w:szCs w:val="22"/>
          <w:lang w:val="lo-LA"/>
        </w:rPr>
        <w:t>: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 xml:space="preserve"> ກະລຸນາໂທຫາ 866-223-1111 ຫຼື ສົ່ງຂໍ້ຄວາມຫາ 612-399-9995.</w:t>
      </w:r>
    </w:p>
    <w:p w14:paraId="140F0201" w14:textId="72C645DA" w:rsidR="006D46C3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r w:rsidRPr="00087456">
        <w:rPr>
          <w:rFonts w:ascii="Phetsarath OT" w:eastAsia="Phetsarath OT" w:hAnsi="Phetsarath OT" w:cs="Phetsarath OT"/>
          <w:sz w:val="22"/>
          <w:szCs w:val="22"/>
        </w:rPr>
        <w:t>______________________________________________________________________</w:t>
      </w:r>
    </w:p>
    <w:p w14:paraId="140F0202" w14:textId="77777777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b/>
          <w:bCs/>
          <w:sz w:val="30"/>
          <w:szCs w:val="30"/>
        </w:rPr>
      </w:pPr>
      <w:r w:rsidRPr="00087456">
        <w:rPr>
          <w:rFonts w:ascii="Phetsarath OT" w:eastAsia="Phetsarath OT" w:hAnsi="Phetsarath OT" w:cs="Phetsarath OT"/>
          <w:b/>
          <w:bCs/>
          <w:sz w:val="30"/>
          <w:szCs w:val="30"/>
          <w:lang w:val="lo-LA"/>
        </w:rPr>
        <w:t>ການຊອກຫາການຊ່ວຍເຫຼືອ</w:t>
      </w:r>
    </w:p>
    <w:p w14:paraId="140F0204" w14:textId="7E7C939C" w:rsidR="009D0621" w:rsidRPr="00087456" w:rsidRDefault="00F12C0A" w:rsidP="00087456">
      <w:pPr>
        <w:spacing w:after="0" w:line="400" w:lineRule="exact"/>
        <w:jc w:val="both"/>
        <w:rPr>
          <w:rFonts w:ascii="Phetsarath OT" w:eastAsia="Phetsarath OT" w:hAnsi="Phetsarath OT" w:cs="Phetsarath OT"/>
          <w:sz w:val="22"/>
          <w:szCs w:val="22"/>
        </w:rPr>
      </w:pPr>
      <w:hyperlink r:id="rId6" w:tooltip="Crime victim resources" w:history="1">
        <w:r w:rsidRPr="0020042F">
          <w:rPr>
            <w:rStyle w:val="Hyperlink"/>
            <w:rFonts w:ascii="Leelawadee UI" w:eastAsia="Phetsarath OT" w:hAnsi="Leelawadee UI" w:cs="Leelawadee UI"/>
            <w:sz w:val="22"/>
            <w:szCs w:val="22"/>
            <w:lang w:val="lo-LA"/>
          </w:rPr>
          <w:t>ຊອກຫາການຊ່ວຍເຫຼືອໄດ້ຢູ່ບ່ອນນີ້</w:t>
        </w:r>
      </w:hyperlink>
      <w:r w:rsidR="00087456">
        <w:rPr>
          <w:rFonts w:ascii="Phetsarath OT" w:eastAsia="Phetsarath OT" w:hAnsi="Phetsarath OT" w:cs="Phetsarath OT" w:hint="cs"/>
          <w:sz w:val="22"/>
          <w:szCs w:val="22"/>
          <w:cs/>
          <w:lang w:bidi="lo-LA"/>
        </w:rPr>
        <w:t xml:space="preserve"> </w:t>
      </w:r>
      <w:r w:rsidRPr="00087456">
        <w:rPr>
          <w:rFonts w:ascii="Phetsarath OT" w:eastAsia="Phetsarath OT" w:hAnsi="Phetsarath OT" w:cs="Phetsarath OT"/>
          <w:sz w:val="22"/>
          <w:szCs w:val="22"/>
          <w:lang w:val="lo-LA"/>
        </w:rPr>
        <w:t>ຫຼື ຕິດຕໍ່ໜ່ວຍງານບັງຄັບໃຊ້ກົດໝາຍໃນທ້ອງຖິ່ນ.</w:t>
      </w:r>
    </w:p>
    <w:sectPr w:rsidR="009D0621" w:rsidRPr="00087456" w:rsidSect="0020042F">
      <w:pgSz w:w="12240" w:h="15840"/>
      <w:pgMar w:top="720" w:right="1440" w:bottom="709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etsarath OT">
    <w:altName w:val="Yu Gothic"/>
    <w:charset w:val="80"/>
    <w:family w:val="auto"/>
    <w:pitch w:val="variable"/>
    <w:sig w:usb0="F7FFAEFF" w:usb1="FBDFFFFF" w:usb2="1FFBFFFF" w:usb3="00000000" w:csb0="803F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A38C9E2A">
      <w:start w:val="1"/>
      <w:numFmt w:val="decimal"/>
      <w:lvlText w:val="%1."/>
      <w:lvlJc w:val="left"/>
      <w:pPr>
        <w:ind w:left="720" w:hanging="360"/>
      </w:pPr>
    </w:lvl>
    <w:lvl w:ilvl="1" w:tplc="5A7A78BC" w:tentative="1">
      <w:start w:val="1"/>
      <w:numFmt w:val="lowerLetter"/>
      <w:lvlText w:val="%2."/>
      <w:lvlJc w:val="left"/>
      <w:pPr>
        <w:ind w:left="1440" w:hanging="360"/>
      </w:pPr>
    </w:lvl>
    <w:lvl w:ilvl="2" w:tplc="69428686" w:tentative="1">
      <w:start w:val="1"/>
      <w:numFmt w:val="lowerRoman"/>
      <w:lvlText w:val="%3."/>
      <w:lvlJc w:val="right"/>
      <w:pPr>
        <w:ind w:left="2160" w:hanging="180"/>
      </w:pPr>
    </w:lvl>
    <w:lvl w:ilvl="3" w:tplc="3C747686" w:tentative="1">
      <w:start w:val="1"/>
      <w:numFmt w:val="decimal"/>
      <w:lvlText w:val="%4."/>
      <w:lvlJc w:val="left"/>
      <w:pPr>
        <w:ind w:left="2880" w:hanging="360"/>
      </w:pPr>
    </w:lvl>
    <w:lvl w:ilvl="4" w:tplc="7F7AEAF2" w:tentative="1">
      <w:start w:val="1"/>
      <w:numFmt w:val="lowerLetter"/>
      <w:lvlText w:val="%5."/>
      <w:lvlJc w:val="left"/>
      <w:pPr>
        <w:ind w:left="3600" w:hanging="360"/>
      </w:pPr>
    </w:lvl>
    <w:lvl w:ilvl="5" w:tplc="0914C4FA" w:tentative="1">
      <w:start w:val="1"/>
      <w:numFmt w:val="lowerRoman"/>
      <w:lvlText w:val="%6."/>
      <w:lvlJc w:val="right"/>
      <w:pPr>
        <w:ind w:left="4320" w:hanging="180"/>
      </w:pPr>
    </w:lvl>
    <w:lvl w:ilvl="6" w:tplc="49825D0E" w:tentative="1">
      <w:start w:val="1"/>
      <w:numFmt w:val="decimal"/>
      <w:lvlText w:val="%7."/>
      <w:lvlJc w:val="left"/>
      <w:pPr>
        <w:ind w:left="5040" w:hanging="360"/>
      </w:pPr>
    </w:lvl>
    <w:lvl w:ilvl="7" w:tplc="62663A80" w:tentative="1">
      <w:start w:val="1"/>
      <w:numFmt w:val="lowerLetter"/>
      <w:lvlText w:val="%8."/>
      <w:lvlJc w:val="left"/>
      <w:pPr>
        <w:ind w:left="5760" w:hanging="360"/>
      </w:pPr>
    </w:lvl>
    <w:lvl w:ilvl="8" w:tplc="9D961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76ECDB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52982C7C" w:tentative="1">
      <w:start w:val="1"/>
      <w:numFmt w:val="lowerLetter"/>
      <w:lvlText w:val="%2."/>
      <w:lvlJc w:val="left"/>
      <w:pPr>
        <w:ind w:left="1080" w:hanging="360"/>
      </w:pPr>
    </w:lvl>
    <w:lvl w:ilvl="2" w:tplc="DBD075BC" w:tentative="1">
      <w:start w:val="1"/>
      <w:numFmt w:val="lowerRoman"/>
      <w:lvlText w:val="%3."/>
      <w:lvlJc w:val="right"/>
      <w:pPr>
        <w:ind w:left="1800" w:hanging="180"/>
      </w:pPr>
    </w:lvl>
    <w:lvl w:ilvl="3" w:tplc="08BEA23C" w:tentative="1">
      <w:start w:val="1"/>
      <w:numFmt w:val="decimal"/>
      <w:lvlText w:val="%4."/>
      <w:lvlJc w:val="left"/>
      <w:pPr>
        <w:ind w:left="2520" w:hanging="360"/>
      </w:pPr>
    </w:lvl>
    <w:lvl w:ilvl="4" w:tplc="4F82BC48" w:tentative="1">
      <w:start w:val="1"/>
      <w:numFmt w:val="lowerLetter"/>
      <w:lvlText w:val="%5."/>
      <w:lvlJc w:val="left"/>
      <w:pPr>
        <w:ind w:left="3240" w:hanging="360"/>
      </w:pPr>
    </w:lvl>
    <w:lvl w:ilvl="5" w:tplc="AA46DE72" w:tentative="1">
      <w:start w:val="1"/>
      <w:numFmt w:val="lowerRoman"/>
      <w:lvlText w:val="%6."/>
      <w:lvlJc w:val="right"/>
      <w:pPr>
        <w:ind w:left="3960" w:hanging="180"/>
      </w:pPr>
    </w:lvl>
    <w:lvl w:ilvl="6" w:tplc="34A62766" w:tentative="1">
      <w:start w:val="1"/>
      <w:numFmt w:val="decimal"/>
      <w:lvlText w:val="%7."/>
      <w:lvlJc w:val="left"/>
      <w:pPr>
        <w:ind w:left="4680" w:hanging="360"/>
      </w:pPr>
    </w:lvl>
    <w:lvl w:ilvl="7" w:tplc="0054D972" w:tentative="1">
      <w:start w:val="1"/>
      <w:numFmt w:val="lowerLetter"/>
      <w:lvlText w:val="%8."/>
      <w:lvlJc w:val="left"/>
      <w:pPr>
        <w:ind w:left="5400" w:hanging="360"/>
      </w:pPr>
    </w:lvl>
    <w:lvl w:ilvl="8" w:tplc="A48869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91FC1378">
      <w:start w:val="1"/>
      <w:numFmt w:val="decimal"/>
      <w:lvlText w:val="%1."/>
      <w:lvlJc w:val="left"/>
      <w:pPr>
        <w:ind w:left="360" w:hanging="360"/>
      </w:pPr>
    </w:lvl>
    <w:lvl w:ilvl="1" w:tplc="3FA4DA8C" w:tentative="1">
      <w:start w:val="1"/>
      <w:numFmt w:val="lowerLetter"/>
      <w:lvlText w:val="%2."/>
      <w:lvlJc w:val="left"/>
      <w:pPr>
        <w:ind w:left="1080" w:hanging="360"/>
      </w:pPr>
    </w:lvl>
    <w:lvl w:ilvl="2" w:tplc="CC02E642" w:tentative="1">
      <w:start w:val="1"/>
      <w:numFmt w:val="lowerRoman"/>
      <w:lvlText w:val="%3."/>
      <w:lvlJc w:val="right"/>
      <w:pPr>
        <w:ind w:left="1800" w:hanging="180"/>
      </w:pPr>
    </w:lvl>
    <w:lvl w:ilvl="3" w:tplc="39B8CF5E" w:tentative="1">
      <w:start w:val="1"/>
      <w:numFmt w:val="decimal"/>
      <w:lvlText w:val="%4."/>
      <w:lvlJc w:val="left"/>
      <w:pPr>
        <w:ind w:left="2520" w:hanging="360"/>
      </w:pPr>
    </w:lvl>
    <w:lvl w:ilvl="4" w:tplc="C4720478" w:tentative="1">
      <w:start w:val="1"/>
      <w:numFmt w:val="lowerLetter"/>
      <w:lvlText w:val="%5."/>
      <w:lvlJc w:val="left"/>
      <w:pPr>
        <w:ind w:left="3240" w:hanging="360"/>
      </w:pPr>
    </w:lvl>
    <w:lvl w:ilvl="5" w:tplc="ADDC6260" w:tentative="1">
      <w:start w:val="1"/>
      <w:numFmt w:val="lowerRoman"/>
      <w:lvlText w:val="%6."/>
      <w:lvlJc w:val="right"/>
      <w:pPr>
        <w:ind w:left="3960" w:hanging="180"/>
      </w:pPr>
    </w:lvl>
    <w:lvl w:ilvl="6" w:tplc="943AF42E" w:tentative="1">
      <w:start w:val="1"/>
      <w:numFmt w:val="decimal"/>
      <w:lvlText w:val="%7."/>
      <w:lvlJc w:val="left"/>
      <w:pPr>
        <w:ind w:left="4680" w:hanging="360"/>
      </w:pPr>
    </w:lvl>
    <w:lvl w:ilvl="7" w:tplc="343EAB32" w:tentative="1">
      <w:start w:val="1"/>
      <w:numFmt w:val="lowerLetter"/>
      <w:lvlText w:val="%8."/>
      <w:lvlJc w:val="left"/>
      <w:pPr>
        <w:ind w:left="5400" w:hanging="360"/>
      </w:pPr>
    </w:lvl>
    <w:lvl w:ilvl="8" w:tplc="26E220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9641771">
    <w:abstractNumId w:val="2"/>
  </w:num>
  <w:num w:numId="2" w16cid:durableId="1349676721">
    <w:abstractNumId w:val="0"/>
  </w:num>
  <w:num w:numId="3" w16cid:durableId="146905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1"/>
    <w:rsid w:val="00087456"/>
    <w:rsid w:val="0009557B"/>
    <w:rsid w:val="000B3433"/>
    <w:rsid w:val="00113D0D"/>
    <w:rsid w:val="001D77D0"/>
    <w:rsid w:val="0020042F"/>
    <w:rsid w:val="002E59C7"/>
    <w:rsid w:val="002F0031"/>
    <w:rsid w:val="003279EF"/>
    <w:rsid w:val="00443D22"/>
    <w:rsid w:val="004E724E"/>
    <w:rsid w:val="00600DAD"/>
    <w:rsid w:val="006D46C3"/>
    <w:rsid w:val="00705191"/>
    <w:rsid w:val="00802786"/>
    <w:rsid w:val="00810FE2"/>
    <w:rsid w:val="00823663"/>
    <w:rsid w:val="008E75BB"/>
    <w:rsid w:val="009A5B99"/>
    <w:rsid w:val="009D0621"/>
    <w:rsid w:val="00A22F88"/>
    <w:rsid w:val="00A456D8"/>
    <w:rsid w:val="00A53217"/>
    <w:rsid w:val="00B3331C"/>
    <w:rsid w:val="00BA25D5"/>
    <w:rsid w:val="00D71E07"/>
    <w:rsid w:val="00ED49A9"/>
    <w:rsid w:val="00F03D61"/>
    <w:rsid w:val="00F1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01F2"/>
  <w15:chartTrackingRefBased/>
  <w15:docId w15:val="{A1B11DB4-B483-48A9-B57E-313B2EA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0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divisions/ojp/crime-victims/finding-help" TargetMode="External"/><Relationship Id="rId5" Type="http://schemas.openxmlformats.org/officeDocument/2006/relationships/hyperlink" Target="https://dayon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>Department of Public Safety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Elwell, Suzanne (DPS)</dc:creator>
  <cp:lastModifiedBy>Elwell, Suzanne (DPS)</cp:lastModifiedBy>
  <cp:revision>3</cp:revision>
  <dcterms:created xsi:type="dcterms:W3CDTF">2025-09-25T19:42:00Z</dcterms:created>
  <dcterms:modified xsi:type="dcterms:W3CDTF">2025-09-25T20:17:00Z</dcterms:modified>
</cp:coreProperties>
</file>